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190086">
        <w:rPr>
          <w:sz w:val="28"/>
        </w:rPr>
        <w:t>R</w:t>
      </w:r>
      <w:r w:rsidR="006B54F1">
        <w:rPr>
          <w:sz w:val="28"/>
        </w:rPr>
        <w:t>aten beim Test</w:t>
      </w:r>
    </w:p>
    <w:p w:rsidR="00694A63" w:rsidRPr="00694A63" w:rsidRDefault="00694A63">
      <w:pPr>
        <w:pStyle w:val="IQB-Teilaufgabentitel"/>
        <w:rPr>
          <w:b/>
        </w:rPr>
      </w:pPr>
      <w:r w:rsidRPr="00694A63">
        <w:rPr>
          <w:b/>
        </w:rPr>
        <w:t>Merkmal</w:t>
      </w:r>
      <w:r w:rsidR="00220FFD">
        <w:rPr>
          <w:b/>
        </w:rPr>
        <w:t>e</w:t>
      </w:r>
      <w:r w:rsidR="009C235D">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6B54F1" w:rsidTr="006B54F1">
        <w:tc>
          <w:tcPr>
            <w:tcW w:w="2466" w:type="dxa"/>
            <w:tcBorders>
              <w:top w:val="single" w:sz="4" w:space="0" w:color="auto"/>
            </w:tcBorders>
            <w:vAlign w:val="center"/>
          </w:tcPr>
          <w:p w:rsidR="006B54F1" w:rsidRDefault="006B54F1" w:rsidP="007363C8">
            <w:pPr>
              <w:pStyle w:val="IQB-Merkmal"/>
            </w:pPr>
            <w:r>
              <w:t>Leitidee</w:t>
            </w:r>
          </w:p>
        </w:tc>
        <w:tc>
          <w:tcPr>
            <w:tcW w:w="6604" w:type="dxa"/>
            <w:tcBorders>
              <w:top w:val="single" w:sz="4" w:space="0" w:color="auto"/>
            </w:tcBorders>
          </w:tcPr>
          <w:p w:rsidR="006B54F1" w:rsidRDefault="006B54F1" w:rsidP="007363C8">
            <w:pPr>
              <w:pStyle w:val="IQB-Merkmalswert"/>
            </w:pPr>
            <w:r>
              <w:t>5. Daten und Zufall</w:t>
            </w:r>
          </w:p>
        </w:tc>
      </w:tr>
      <w:tr w:rsidR="006B54F1" w:rsidTr="006B54F1">
        <w:tc>
          <w:tcPr>
            <w:tcW w:w="2466" w:type="dxa"/>
            <w:vAlign w:val="center"/>
          </w:tcPr>
          <w:p w:rsidR="006B54F1" w:rsidRDefault="006B54F1" w:rsidP="007363C8">
            <w:pPr>
              <w:pStyle w:val="IQB-Merkmal"/>
            </w:pPr>
            <w:r>
              <w:t>Allgemeine Kompetenz</w:t>
            </w:r>
          </w:p>
        </w:tc>
        <w:tc>
          <w:tcPr>
            <w:tcW w:w="6604" w:type="dxa"/>
          </w:tcPr>
          <w:p w:rsidR="006B54F1" w:rsidRDefault="006B54F1" w:rsidP="007363C8">
            <w:pPr>
              <w:pStyle w:val="IQB-Merkmalswert"/>
            </w:pPr>
            <w:r>
              <w:t>Mathematisches Modellieren (K3),</w:t>
            </w:r>
            <w:r>
              <w:tab/>
            </w:r>
          </w:p>
          <w:p w:rsidR="006B54F1" w:rsidRDefault="006B54F1" w:rsidP="007363C8">
            <w:pPr>
              <w:pStyle w:val="IQB-Merkmalswert"/>
            </w:pPr>
            <w:r>
              <w:t>Mit Mathematik symbolisch/ formal/ technisch umgehen (K5)</w:t>
            </w:r>
          </w:p>
        </w:tc>
      </w:tr>
      <w:tr w:rsidR="006B54F1" w:rsidTr="006B54F1">
        <w:tc>
          <w:tcPr>
            <w:tcW w:w="2466" w:type="dxa"/>
            <w:vAlign w:val="center"/>
          </w:tcPr>
          <w:p w:rsidR="006B54F1" w:rsidRDefault="006B54F1" w:rsidP="007363C8">
            <w:pPr>
              <w:pStyle w:val="IQB-Merkmal"/>
            </w:pPr>
            <w:r>
              <w:t>Anforderungsbereich</w:t>
            </w:r>
          </w:p>
        </w:tc>
        <w:tc>
          <w:tcPr>
            <w:tcW w:w="6604" w:type="dxa"/>
          </w:tcPr>
          <w:p w:rsidR="006B54F1" w:rsidRDefault="006B54F1" w:rsidP="007363C8">
            <w:pPr>
              <w:pStyle w:val="IQB-Merkmalswert"/>
            </w:pPr>
            <w:r>
              <w:t>I</w:t>
            </w:r>
          </w:p>
        </w:tc>
      </w:tr>
      <w:tr w:rsidR="006B54F1" w:rsidTr="006B54F1">
        <w:tc>
          <w:tcPr>
            <w:tcW w:w="2466" w:type="dxa"/>
            <w:tcBorders>
              <w:bottom w:val="single" w:sz="4" w:space="0" w:color="auto"/>
            </w:tcBorders>
            <w:vAlign w:val="center"/>
          </w:tcPr>
          <w:p w:rsidR="006B54F1" w:rsidRDefault="006B54F1" w:rsidP="007363C8">
            <w:pPr>
              <w:pStyle w:val="IQB-Merkmal"/>
            </w:pPr>
            <w:r>
              <w:t>Kompetenzstufe</w:t>
            </w:r>
          </w:p>
        </w:tc>
        <w:tc>
          <w:tcPr>
            <w:tcW w:w="6604" w:type="dxa"/>
            <w:tcBorders>
              <w:bottom w:val="single" w:sz="4" w:space="0" w:color="auto"/>
            </w:tcBorders>
          </w:tcPr>
          <w:p w:rsidR="006B54F1" w:rsidRDefault="006B54F1" w:rsidP="007363C8">
            <w:pPr>
              <w:pStyle w:val="IQB-Merkmalswert"/>
            </w:pPr>
            <w:r>
              <w:t>2</w:t>
            </w:r>
          </w:p>
        </w:tc>
      </w:tr>
    </w:tbl>
    <w:p w:rsidR="009C235D" w:rsidRPr="00694A63" w:rsidRDefault="009C235D" w:rsidP="009C235D">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6B54F1" w:rsidTr="006B54F1">
        <w:tc>
          <w:tcPr>
            <w:tcW w:w="2466" w:type="dxa"/>
            <w:tcBorders>
              <w:top w:val="single" w:sz="4" w:space="0" w:color="auto"/>
            </w:tcBorders>
            <w:vAlign w:val="center"/>
          </w:tcPr>
          <w:p w:rsidR="006B54F1" w:rsidRDefault="006B54F1" w:rsidP="007363C8">
            <w:pPr>
              <w:pStyle w:val="IQB-Merkmal"/>
            </w:pPr>
            <w:r>
              <w:t>Leitidee</w:t>
            </w:r>
          </w:p>
        </w:tc>
        <w:tc>
          <w:tcPr>
            <w:tcW w:w="6604" w:type="dxa"/>
            <w:tcBorders>
              <w:top w:val="single" w:sz="4" w:space="0" w:color="auto"/>
            </w:tcBorders>
          </w:tcPr>
          <w:p w:rsidR="006B54F1" w:rsidRDefault="006B54F1" w:rsidP="007363C8">
            <w:pPr>
              <w:pStyle w:val="IQB-Merkmalswert"/>
            </w:pPr>
            <w:r>
              <w:t>5. Daten und Zufall</w:t>
            </w:r>
          </w:p>
        </w:tc>
      </w:tr>
      <w:tr w:rsidR="006B54F1" w:rsidTr="006B54F1">
        <w:tc>
          <w:tcPr>
            <w:tcW w:w="2466" w:type="dxa"/>
            <w:vAlign w:val="center"/>
          </w:tcPr>
          <w:p w:rsidR="006B54F1" w:rsidRDefault="006B54F1" w:rsidP="007363C8">
            <w:pPr>
              <w:pStyle w:val="IQB-Merkmal"/>
            </w:pPr>
            <w:r>
              <w:t>Allgemeine Kompetenz</w:t>
            </w:r>
          </w:p>
        </w:tc>
        <w:tc>
          <w:tcPr>
            <w:tcW w:w="6604" w:type="dxa"/>
          </w:tcPr>
          <w:p w:rsidR="006B54F1" w:rsidRDefault="006B54F1" w:rsidP="007363C8">
            <w:pPr>
              <w:pStyle w:val="IQB-Merkmalswert"/>
            </w:pPr>
            <w:r>
              <w:t>Mathematisches Modellieren (K3),</w:t>
            </w:r>
            <w:r>
              <w:tab/>
            </w:r>
          </w:p>
          <w:p w:rsidR="006B54F1" w:rsidRDefault="006B54F1" w:rsidP="007363C8">
            <w:pPr>
              <w:pStyle w:val="IQB-Merkmalswert"/>
            </w:pPr>
            <w:r>
              <w:t>Mit Mathematik symbolisch/ formal/ technisch umgehen (K5)</w:t>
            </w:r>
          </w:p>
        </w:tc>
      </w:tr>
      <w:tr w:rsidR="006B54F1" w:rsidTr="006B54F1">
        <w:tc>
          <w:tcPr>
            <w:tcW w:w="2466" w:type="dxa"/>
            <w:vAlign w:val="center"/>
          </w:tcPr>
          <w:p w:rsidR="006B54F1" w:rsidRDefault="006B54F1" w:rsidP="007363C8">
            <w:pPr>
              <w:pStyle w:val="IQB-Merkmal"/>
            </w:pPr>
            <w:r>
              <w:t>Anforderungsbereich</w:t>
            </w:r>
          </w:p>
        </w:tc>
        <w:tc>
          <w:tcPr>
            <w:tcW w:w="6604" w:type="dxa"/>
          </w:tcPr>
          <w:p w:rsidR="006B54F1" w:rsidRDefault="006B54F1" w:rsidP="007363C8">
            <w:pPr>
              <w:pStyle w:val="IQB-Merkmalswert"/>
            </w:pPr>
            <w:r>
              <w:t>II</w:t>
            </w:r>
          </w:p>
        </w:tc>
      </w:tr>
      <w:tr w:rsidR="006B54F1" w:rsidTr="006B54F1">
        <w:tc>
          <w:tcPr>
            <w:tcW w:w="2466" w:type="dxa"/>
            <w:tcBorders>
              <w:bottom w:val="single" w:sz="4" w:space="0" w:color="auto"/>
            </w:tcBorders>
            <w:vAlign w:val="center"/>
          </w:tcPr>
          <w:p w:rsidR="006B54F1" w:rsidRDefault="006B54F1" w:rsidP="007363C8">
            <w:pPr>
              <w:pStyle w:val="IQB-Merkmal"/>
            </w:pPr>
            <w:r>
              <w:t>Kompetenzstufe</w:t>
            </w:r>
          </w:p>
        </w:tc>
        <w:tc>
          <w:tcPr>
            <w:tcW w:w="6604" w:type="dxa"/>
            <w:tcBorders>
              <w:bottom w:val="single" w:sz="4" w:space="0" w:color="auto"/>
            </w:tcBorders>
          </w:tcPr>
          <w:p w:rsidR="006B54F1" w:rsidRDefault="006B54F1" w:rsidP="007363C8">
            <w:pPr>
              <w:pStyle w:val="IQB-Merkmalswert"/>
            </w:pPr>
            <w:r>
              <w:t>5</w:t>
            </w:r>
          </w:p>
        </w:tc>
      </w:tr>
    </w:tbl>
    <w:p w:rsidR="00694A63" w:rsidRPr="00694A63" w:rsidRDefault="00694A63" w:rsidP="00694A63">
      <w:pPr>
        <w:pStyle w:val="IQB-Teilaufgabentitel"/>
        <w:rPr>
          <w:b/>
        </w:rPr>
      </w:pPr>
      <w:r w:rsidRPr="00694A63">
        <w:rPr>
          <w:b/>
        </w:rPr>
        <w:t>Aufgabenbezogener Kommentar</w:t>
      </w:r>
    </w:p>
    <w:p w:rsidR="006B54F1" w:rsidRPr="00453C95" w:rsidRDefault="006B54F1" w:rsidP="006B54F1">
      <w:pPr>
        <w:pStyle w:val="IQB-Standard"/>
        <w:rPr>
          <w:sz w:val="22"/>
          <w:szCs w:val="22"/>
        </w:rPr>
      </w:pPr>
      <w:r w:rsidRPr="00453C95">
        <w:rPr>
          <w:sz w:val="22"/>
          <w:szCs w:val="22"/>
        </w:rPr>
        <w:t>Diese Aufgabe gehört zur Leitidee Daten und Zufall (L5), da hier Wahrscheinlichkeiten bestimmt werden sollen.</w:t>
      </w:r>
    </w:p>
    <w:p w:rsidR="006B54F1" w:rsidRPr="00453C95" w:rsidRDefault="006B54F1" w:rsidP="006B54F1">
      <w:pPr>
        <w:pStyle w:val="IQB-Standard"/>
        <w:rPr>
          <w:sz w:val="22"/>
          <w:szCs w:val="22"/>
        </w:rPr>
      </w:pPr>
      <w:r w:rsidRPr="00453C95">
        <w:rPr>
          <w:sz w:val="22"/>
          <w:szCs w:val="22"/>
        </w:rPr>
        <w:t>In Teilaufgabe 1 soll berechnet werden, wie groß in einem Single-Choice-Test mit 4 Antwortmöglichkeiten je Frage die Wahrscheinlichkeit ist, eine richtige Lösung zu erraten. Als naheliegendes mathematisches Modell kann hierbei das der Laplace-Wahrscheinlichkeit dienen (K3, K5). Die Wahrscheinlichkeit, durch Raten alle vier Fragen im Test richtig zu beantworten, soll in Teilaufgabe 2 berechnet werden (K5). Als mathematisches Modell kann hier ein mehrstufiges Baumdiagramm dienen (K3). Die gesuchte Wahrscheinlichkeit lässt sich dann über die Pfadmultiplikationsregel berechnen (K5).</w:t>
      </w:r>
    </w:p>
    <w:p w:rsidR="006B54F1" w:rsidRPr="00453C95" w:rsidRDefault="006B54F1" w:rsidP="006B54F1">
      <w:pPr>
        <w:pStyle w:val="IQB-Standard"/>
        <w:rPr>
          <w:sz w:val="22"/>
          <w:szCs w:val="22"/>
        </w:rPr>
      </w:pPr>
      <w:r w:rsidRPr="00453C95">
        <w:rPr>
          <w:sz w:val="22"/>
          <w:szCs w:val="22"/>
        </w:rPr>
        <w:t>Die erste Teilaufgabe wird dem Anforderungsbereich I zugeordnet, weil hier ein einfaches Standardmodell verwendet werden kann und keine hohen Anforderungen an die angesprochenen Kompetenzen gestellt werden. In der zweiten Teilaufgabe ist das aufzustellende Modell komplexer und die Anforderungen an das technische Arbeiten sind höher, weshalb diese Aufgabe dem Anforderungsbereich II angehört.</w:t>
      </w:r>
    </w:p>
    <w:p w:rsidR="00694A63" w:rsidRPr="00694A63" w:rsidRDefault="00694A63" w:rsidP="00694A63">
      <w:pPr>
        <w:pStyle w:val="IQB-Teilaufgabentitel"/>
        <w:rPr>
          <w:b/>
        </w:rPr>
      </w:pPr>
      <w:r w:rsidRPr="00694A63">
        <w:rPr>
          <w:b/>
        </w:rPr>
        <w:t>Anregungen für den Unterricht</w:t>
      </w:r>
    </w:p>
    <w:p w:rsidR="006B54F1" w:rsidRPr="00453C95" w:rsidRDefault="006B54F1" w:rsidP="006B54F1">
      <w:pPr>
        <w:pStyle w:val="IQB-Standard"/>
        <w:spacing w:after="120"/>
        <w:rPr>
          <w:sz w:val="22"/>
          <w:szCs w:val="22"/>
        </w:rPr>
      </w:pPr>
      <w:r w:rsidRPr="00453C95">
        <w:rPr>
          <w:sz w:val="22"/>
          <w:szCs w:val="22"/>
        </w:rPr>
        <w:t xml:space="preserve">Testsituationen in der Schule bieten einen konkreten Anlass, um die Einführung diverser Probleme aus der Wahrscheinlichkeitsrechnung zu motivieren. Ausgehend von den beiden hier gestellten Fragen, können weitere naheliegende und realitätsbezogene Fragestellungen wie die folgenden entwickelt werden: </w:t>
      </w:r>
    </w:p>
    <w:p w:rsidR="006B54F1" w:rsidRPr="00453C95" w:rsidRDefault="006B54F1" w:rsidP="006B54F1">
      <w:pPr>
        <w:pStyle w:val="IQB-Standard"/>
        <w:numPr>
          <w:ilvl w:val="0"/>
          <w:numId w:val="9"/>
        </w:numPr>
        <w:ind w:left="426"/>
        <w:rPr>
          <w:sz w:val="22"/>
          <w:szCs w:val="22"/>
        </w:rPr>
      </w:pPr>
      <w:r w:rsidRPr="00453C95">
        <w:rPr>
          <w:sz w:val="22"/>
          <w:szCs w:val="22"/>
        </w:rPr>
        <w:t xml:space="preserve">Wie verändert sich die Wahrscheinlichkeit von Rateerfolgen, wenn in einer Aufgabe einige Antwortmöglichkeiten durch Vorwissen ausgeschlossen werden können? </w:t>
      </w:r>
    </w:p>
    <w:p w:rsidR="006B54F1" w:rsidRPr="00453C95" w:rsidRDefault="006B54F1" w:rsidP="006B54F1">
      <w:pPr>
        <w:pStyle w:val="IQB-Standard"/>
        <w:numPr>
          <w:ilvl w:val="0"/>
          <w:numId w:val="9"/>
        </w:numPr>
        <w:ind w:left="426"/>
        <w:rPr>
          <w:sz w:val="22"/>
          <w:szCs w:val="22"/>
        </w:rPr>
      </w:pPr>
      <w:r w:rsidRPr="00453C95">
        <w:rPr>
          <w:sz w:val="22"/>
          <w:szCs w:val="22"/>
        </w:rPr>
        <w:t>Wie können in Multiple-Choice-Aufgaben Punkte verteilt werden, damit Raten als Strategie möglichst wenig Erfolg hat?</w:t>
      </w:r>
    </w:p>
    <w:p w:rsidR="006B54F1" w:rsidRDefault="006B54F1" w:rsidP="006B54F1">
      <w:pPr>
        <w:pStyle w:val="IQB-Standard"/>
        <w:spacing w:before="120"/>
        <w:rPr>
          <w:sz w:val="22"/>
          <w:szCs w:val="22"/>
        </w:rPr>
      </w:pPr>
      <w:r w:rsidRPr="00453C95">
        <w:rPr>
          <w:sz w:val="22"/>
          <w:szCs w:val="22"/>
        </w:rPr>
        <w:t xml:space="preserve">Solche und ähnliche Forschungsfragen können mit den Lernenden im Unterricht entwickelt und mit Modellen der Wahrscheinlichkeitsrechnung beantwortet werden. Hierbei bietet sich ein Unterricht an, in dem den Schülerinnen und Schülern möglichst viel Raum für eigenes Experimentieren gelassen wird. Indem man Forschungsprotokolle bzw. Lerntagebücher anfertigen lässt, kann neben den Kompetenzen </w:t>
      </w:r>
      <w:r w:rsidRPr="00453C95">
        <w:rPr>
          <w:i/>
          <w:sz w:val="22"/>
          <w:szCs w:val="22"/>
        </w:rPr>
        <w:t>Probleme mathematisch lösen</w:t>
      </w:r>
      <w:r w:rsidRPr="00453C95">
        <w:rPr>
          <w:sz w:val="22"/>
          <w:szCs w:val="22"/>
        </w:rPr>
        <w:t xml:space="preserve"> (K2) und </w:t>
      </w:r>
      <w:r w:rsidRPr="00453C95">
        <w:rPr>
          <w:i/>
          <w:sz w:val="22"/>
          <w:szCs w:val="22"/>
        </w:rPr>
        <w:t>Mathematisch modellieren</w:t>
      </w:r>
      <w:r w:rsidRPr="00453C95">
        <w:rPr>
          <w:sz w:val="22"/>
          <w:szCs w:val="22"/>
        </w:rPr>
        <w:t xml:space="preserve"> (K3) auch die Kompetenz </w:t>
      </w:r>
      <w:r w:rsidRPr="00453C95">
        <w:rPr>
          <w:i/>
          <w:sz w:val="22"/>
          <w:szCs w:val="22"/>
        </w:rPr>
        <w:t>Mathematisch kommunizieren</w:t>
      </w:r>
      <w:r w:rsidRPr="00453C95">
        <w:rPr>
          <w:sz w:val="22"/>
          <w:szCs w:val="22"/>
        </w:rPr>
        <w:t xml:space="preserve"> (K6) gefördert werden.</w:t>
      </w:r>
    </w:p>
    <w:p w:rsidR="006B54F1" w:rsidRDefault="006B54F1" w:rsidP="006B54F1">
      <w:pPr>
        <w:pStyle w:val="IQB-Standard"/>
        <w:spacing w:before="120"/>
        <w:rPr>
          <w:sz w:val="22"/>
          <w:szCs w:val="22"/>
        </w:rPr>
      </w:pPr>
      <w:r w:rsidRPr="00453C95">
        <w:rPr>
          <w:sz w:val="22"/>
          <w:szCs w:val="22"/>
        </w:rPr>
        <w:t xml:space="preserve">Die folgende Aufgabe kann verwendet werden, um gleichsam die Grundvoraussetzung für die Verwendbarkeit eines Laplace-Modells (gleiche Elementarwahrscheinlichkeiten) und die Vernetzung von Wahrscheinlichkeitsrechnung und beschreibender bzw. beurteilender Statistik erkunden zu lassen. </w:t>
      </w:r>
    </w:p>
    <w:tbl>
      <w:tblPr>
        <w:tblW w:w="0" w:type="auto"/>
        <w:tblInd w:w="-34" w:type="dxa"/>
        <w:tblBorders>
          <w:top w:val="single" w:sz="4" w:space="0" w:color="auto"/>
          <w:left w:val="single" w:sz="4" w:space="0" w:color="auto"/>
          <w:bottom w:val="single" w:sz="4" w:space="0" w:color="auto"/>
          <w:right w:val="single" w:sz="4" w:space="0" w:color="auto"/>
        </w:tblBorders>
        <w:tblCellMar>
          <w:top w:w="113" w:type="dxa"/>
          <w:bottom w:w="113" w:type="dxa"/>
        </w:tblCellMar>
        <w:tblLook w:val="00A0" w:firstRow="1" w:lastRow="0" w:firstColumn="1" w:lastColumn="0" w:noHBand="0" w:noVBand="0"/>
      </w:tblPr>
      <w:tblGrid>
        <w:gridCol w:w="9320"/>
      </w:tblGrid>
      <w:tr w:rsidR="006B54F1" w:rsidTr="007363C8">
        <w:trPr>
          <w:trHeight w:val="6160"/>
        </w:trPr>
        <w:tc>
          <w:tcPr>
            <w:tcW w:w="9320" w:type="dxa"/>
            <w:tcBorders>
              <w:top w:val="single" w:sz="4" w:space="0" w:color="auto"/>
              <w:bottom w:val="single" w:sz="4" w:space="0" w:color="auto"/>
            </w:tcBorders>
          </w:tcPr>
          <w:p w:rsidR="006B54F1" w:rsidRPr="00D82579" w:rsidRDefault="006B54F1" w:rsidP="007363C8">
            <w:pPr>
              <w:pStyle w:val="IQB-Standard"/>
              <w:spacing w:before="120" w:after="120"/>
              <w:rPr>
                <w:sz w:val="22"/>
                <w:szCs w:val="22"/>
              </w:rPr>
            </w:pPr>
            <w:r>
              <w:rPr>
                <w:noProof/>
              </w:rPr>
              <w:lastRenderedPageBreak/>
              <mc:AlternateContent>
                <mc:Choice Requires="wps">
                  <w:drawing>
                    <wp:anchor distT="0" distB="0" distL="114298" distR="114298" simplePos="0" relativeHeight="251659264" behindDoc="0" locked="0" layoutInCell="1" allowOverlap="1">
                      <wp:simplePos x="0" y="0"/>
                      <wp:positionH relativeFrom="column">
                        <wp:posOffset>-124461</wp:posOffset>
                      </wp:positionH>
                      <wp:positionV relativeFrom="paragraph">
                        <wp:posOffset>-76835</wp:posOffset>
                      </wp:positionV>
                      <wp:extent cx="0" cy="4040505"/>
                      <wp:effectExtent l="19050" t="0" r="38100" b="55245"/>
                      <wp:wrapNone/>
                      <wp:docPr id="9" name="Gerader Verbinde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040505"/>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42A10C2" id="Gerader Verbinder 9" o:spid="_x0000_s1026" style="position:absolute;z-index:2516592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9.8pt,-6.05pt" to="-9.8pt,3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" strokecolor="#bfbfbf" strokeweight="4.5pt">
                      <o:lock v:ext="edit" shapetype="f"/>
                    </v:line>
                  </w:pict>
                </mc:Fallback>
              </mc:AlternateContent>
            </w:r>
            <w:r w:rsidRPr="00D82579">
              <w:rPr>
                <w:sz w:val="22"/>
                <w:szCs w:val="22"/>
              </w:rPr>
              <w:t xml:space="preserve">Bastelt den unten abgebildeten „Quaderwürfel“ nach. Er soll 200-mal geworfen werden. </w:t>
            </w:r>
          </w:p>
          <w:p w:rsidR="006B54F1" w:rsidRPr="00D82579" w:rsidRDefault="006B54F1" w:rsidP="006B54F1">
            <w:pPr>
              <w:pStyle w:val="IQB-Standard"/>
              <w:numPr>
                <w:ilvl w:val="0"/>
                <w:numId w:val="10"/>
              </w:numPr>
              <w:spacing w:before="120" w:after="120"/>
              <w:rPr>
                <w:sz w:val="22"/>
                <w:szCs w:val="22"/>
              </w:rPr>
            </w:pPr>
            <w:r w:rsidRPr="00D82579">
              <w:rPr>
                <w:sz w:val="22"/>
                <w:szCs w:val="22"/>
              </w:rPr>
              <w:t>Gebt zuvor Schätzungen dafür ab, wie oft welche Zahl fallen wird.</w:t>
            </w:r>
          </w:p>
          <w:p w:rsidR="006B54F1" w:rsidRPr="00D82579" w:rsidRDefault="006B54F1" w:rsidP="006B54F1">
            <w:pPr>
              <w:pStyle w:val="IQB-Standard"/>
              <w:numPr>
                <w:ilvl w:val="0"/>
                <w:numId w:val="10"/>
              </w:numPr>
              <w:spacing w:before="120" w:after="120"/>
              <w:rPr>
                <w:sz w:val="22"/>
                <w:szCs w:val="22"/>
              </w:rPr>
            </w:pPr>
            <w:r w:rsidRPr="00D82579">
              <w:rPr>
                <w:sz w:val="22"/>
                <w:szCs w:val="22"/>
              </w:rPr>
              <w:t>Führt die 200 Würfe durch und führt eine Strichliste über die geworfenen Augenzahlen.</w:t>
            </w:r>
          </w:p>
          <w:p w:rsidR="006B54F1" w:rsidRPr="00D82579" w:rsidRDefault="006B54F1" w:rsidP="006B54F1">
            <w:pPr>
              <w:pStyle w:val="IQB-Standard"/>
              <w:numPr>
                <w:ilvl w:val="0"/>
                <w:numId w:val="10"/>
              </w:numPr>
              <w:spacing w:before="120" w:after="120"/>
              <w:rPr>
                <w:sz w:val="22"/>
                <w:szCs w:val="22"/>
              </w:rPr>
            </w:pPr>
            <w:r w:rsidRPr="00D82579">
              <w:rPr>
                <w:sz w:val="22"/>
                <w:szCs w:val="22"/>
              </w:rPr>
              <w:t>Holt auch die Ergebnisse der anderen Gruppen ein. Stellt anschließend die Gesamtergebnisse der Klasse möglichst anschaulich und aussagekräftig dar.</w:t>
            </w:r>
          </w:p>
          <w:p w:rsidR="006B54F1" w:rsidRPr="00D82579" w:rsidRDefault="006B54F1" w:rsidP="006B54F1">
            <w:pPr>
              <w:pStyle w:val="IQB-Standard"/>
              <w:numPr>
                <w:ilvl w:val="0"/>
                <w:numId w:val="10"/>
              </w:numPr>
              <w:spacing w:before="120" w:after="120"/>
              <w:rPr>
                <w:sz w:val="22"/>
                <w:szCs w:val="22"/>
              </w:rPr>
            </w:pPr>
            <w:r w:rsidRPr="00D82579">
              <w:rPr>
                <w:sz w:val="22"/>
                <w:szCs w:val="22"/>
              </w:rPr>
              <w:t>Diskutiert, ob das Werfen des Quaderwürfels ein Laplace-Experiment ist. Schätzt anschließend Wahrscheinlichkeiten für die einzelnen Augenzahlen.</w:t>
            </w:r>
          </w:p>
          <w:p w:rsidR="006B54F1" w:rsidRDefault="006B54F1" w:rsidP="007363C8">
            <w:pPr>
              <w:pStyle w:val="IQB-Standard"/>
              <w:spacing w:before="120" w:after="120"/>
            </w:pPr>
            <w:r>
              <w:object w:dxaOrig="8208" w:dyaOrig="58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75pt;height:171pt" o:ole="">
                  <v:imagedata r:id="rId8" o:title=""/>
                </v:shape>
                <o:OLEObject Type="Embed" ProgID="PBrush" ShapeID="_x0000_i1025" DrawAspect="Content" ObjectID="_1810470686" r:id="rId9"/>
              </w:object>
            </w:r>
          </w:p>
        </w:tc>
      </w:tr>
    </w:tbl>
    <w:p w:rsidR="006B54F1" w:rsidRPr="006B54F1" w:rsidRDefault="006B54F1" w:rsidP="006B54F1">
      <w:pPr>
        <w:pStyle w:val="IQB-Standard"/>
        <w:rPr>
          <w:sz w:val="18"/>
        </w:rPr>
      </w:pPr>
      <w:r w:rsidRPr="006B54F1">
        <w:rPr>
          <w:sz w:val="18"/>
        </w:rPr>
        <w:t xml:space="preserve">Abbildung: Quelle: </w:t>
      </w:r>
      <w:r w:rsidRPr="006B54F1">
        <w:rPr>
          <w:rFonts w:cs="Arial"/>
          <w:b/>
          <w:sz w:val="18"/>
          <w:szCs w:val="18"/>
        </w:rPr>
        <w:t xml:space="preserve">© </w:t>
      </w:r>
      <w:proofErr w:type="spellStart"/>
      <w:r w:rsidRPr="006B54F1">
        <w:rPr>
          <w:sz w:val="18"/>
        </w:rPr>
        <w:t>Büchter</w:t>
      </w:r>
      <w:proofErr w:type="spellEnd"/>
      <w:r w:rsidRPr="006B54F1">
        <w:rPr>
          <w:sz w:val="18"/>
        </w:rPr>
        <w:t xml:space="preserve">, Andreas 2006: Daten und Zufall entdecken. Aspekte eines zeitgemäßen </w:t>
      </w:r>
      <w:proofErr w:type="spellStart"/>
      <w:r w:rsidRPr="006B54F1">
        <w:rPr>
          <w:sz w:val="18"/>
        </w:rPr>
        <w:t>Stochastikunterrichts</w:t>
      </w:r>
      <w:proofErr w:type="spellEnd"/>
      <w:r w:rsidRPr="006B54F1">
        <w:rPr>
          <w:sz w:val="18"/>
        </w:rPr>
        <w:t xml:space="preserve">; In: </w:t>
      </w:r>
      <w:proofErr w:type="spellStart"/>
      <w:r w:rsidRPr="006B54F1">
        <w:rPr>
          <w:sz w:val="18"/>
        </w:rPr>
        <w:t>mathematik</w:t>
      </w:r>
      <w:proofErr w:type="spellEnd"/>
      <w:r w:rsidRPr="006B54F1">
        <w:rPr>
          <w:sz w:val="18"/>
        </w:rPr>
        <w:t xml:space="preserve"> lehren; Nr.138; S. 4-11</w:t>
      </w:r>
    </w:p>
    <w:p w:rsidR="00694A63" w:rsidRPr="006B54F1" w:rsidRDefault="00694A63" w:rsidP="006B54F1">
      <w:pPr>
        <w:pStyle w:val="IQB-Standard"/>
        <w:rPr>
          <w:sz w:val="16"/>
          <w:szCs w:val="22"/>
        </w:rPr>
      </w:pPr>
      <w:bookmarkStart w:id="0" w:name="_GoBack"/>
      <w:bookmarkEnd w:id="0"/>
    </w:p>
    <w:sectPr w:rsidR="00694A63" w:rsidRPr="006B54F1"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D317AB71-095B-4AE7-9E2E-F33D38D4CA7B}"/>
    <w:embedBold r:id="rId2" w:fontKey="{6EE527AE-3DCC-437B-B315-CFDCB4EA4853}"/>
    <w:embedItalic r:id="rId3" w:fontKey="{EB16EB05-0144-4D55-89A0-DDB6A797442B}"/>
    <w:embedBoldItalic r:id="rId4" w:fontKey="{5FA5E054-9A65-495F-8EE6-8DE355F6EAFC}"/>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8623C7E"/>
    <w:multiLevelType w:val="hybridMultilevel"/>
    <w:tmpl w:val="C928BE36"/>
    <w:lvl w:ilvl="0" w:tplc="04070015">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8" w15:restartNumberingAfterBreak="0">
    <w:nsid w:val="6BFA3047"/>
    <w:multiLevelType w:val="hybridMultilevel"/>
    <w:tmpl w:val="49301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
  </w:num>
  <w:num w:numId="3">
    <w:abstractNumId w:val="0"/>
  </w:num>
  <w:num w:numId="4">
    <w:abstractNumId w:val="9"/>
  </w:num>
  <w:num w:numId="5">
    <w:abstractNumId w:val="4"/>
  </w:num>
  <w:num w:numId="6">
    <w:abstractNumId w:val="5"/>
  </w:num>
  <w:num w:numId="7">
    <w:abstractNumId w:val="3"/>
  </w:num>
  <w:num w:numId="8">
    <w:abstractNumId w:val="1"/>
  </w:num>
  <w:num w:numId="9">
    <w:abstractNumId w:val="8"/>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57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9008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6B54F1"/>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B8136A"/>
    <w:rsid w:val="00BC76A7"/>
    <w:rsid w:val="00BE7001"/>
    <w:rsid w:val="00C1611A"/>
    <w:rsid w:val="00C2374F"/>
    <w:rsid w:val="00C2385F"/>
    <w:rsid w:val="00C630C9"/>
    <w:rsid w:val="00C97AB9"/>
    <w:rsid w:val="00CA6E18"/>
    <w:rsid w:val="00CB3553"/>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5777"/>
    <o:shapelayout v:ext="edit">
      <o:idmap v:ext="edit" data="1"/>
    </o:shapelayout>
  </w:shapeDefaults>
  <w:decimalSymbol w:val=","/>
  <w:listSeparator w:val=";"/>
  <w14:docId w14:val="6A6FED49"/>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D853CA-48AA-4547-A03A-A7924AD70D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461</Words>
  <Characters>3252</Characters>
  <Application>Microsoft Office Word</Application>
  <DocSecurity>0</DocSecurity>
  <Lines>295</Lines>
  <Paragraphs>309</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2025-06-03T13:45:00Z</dcterms:created>
  <dcterms:modified xsi:type="dcterms:W3CDTF">2025-06-03T13:45:00Z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